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rId171.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L.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a control agent has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w:t>
      </w:r>
      <w:r>
        <w:t xml:space="preserve"> </w:t>
      </w:r>
      <w:r>
        <w:t xml:space="preserve">Although this has been reported in one instance, the underlying genetics have not been studied.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their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based on a very low number of introduced Palearctic plant species, and are particularity susceptible to pest impacts</w:t>
      </w:r>
      <w:r>
        <w:t xml:space="preserve"> </w:t>
      </w:r>
      <w:r>
        <w:t xml:space="preserve">[5]</w:t>
      </w:r>
      <w:r>
        <w:t xml:space="preserve">.</w:t>
      </w:r>
      <w:r>
        <w:t xml:space="preserve"> </w:t>
      </w:r>
      <w:r>
        <w:t xml:space="preserve">This susceptibility is due to low plant and animal diversity, resulting in low biotic resistance to invasive species</w:t>
      </w:r>
      <w:r>
        <w:t xml:space="preserve"> </w:t>
      </w:r>
      <w:r>
        <w:t xml:space="preserve">[5]</w:t>
      </w:r>
      <w:r>
        <w:t xml:space="preserve">.</w:t>
      </w:r>
      <w:r>
        <w:t xml:space="preserve"> </w:t>
      </w:r>
      <w:r>
        <w:t xml:space="preserve">In New Zealand, adult ASW populations can reach densities of 700 adults m</w:t>
      </w:r>
      <w:r>
        <w:rPr>
          <w:vertAlign w:val="superscript"/>
        </w:rPr>
        <w:t xml:space="preserve">-2</w:t>
      </w:r>
      <w:r>
        <w:t xml:space="preserve"> </w:t>
      </w:r>
      <w:r>
        <w:t xml:space="preserve">and cause economic impacts of up to NZ$200M per annum</w:t>
      </w:r>
      <w:r>
        <w:t xml:space="preserve"> </w:t>
      </w:r>
      <w:r>
        <w:t xml:space="preserve">[6–8]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had reached 90%</w:t>
      </w:r>
      <w:r>
        <w:t xml:space="preserve"> </w:t>
      </w:r>
      <w:r>
        <w:t xml:space="preserve">[13]</w:t>
      </w:r>
      <w:r>
        <w:t xml:space="preserve">, reducing or eliminating damage to pasture</w:t>
      </w:r>
      <w:r>
        <w:t xml:space="preserve"> </w:t>
      </w:r>
      <w:r>
        <w:t xml:space="preserve">[13–15]</w:t>
      </w:r>
      <w:r>
        <w:t xml:space="preserve">.</w:t>
      </w:r>
    </w:p>
    <w:p>
      <w:pPr>
        <w:pStyle w:val="TextBody"/>
      </w:pPr>
      <w:r>
        <w:t xml:space="preserve">Although ASW was initially suppressed by</w:t>
      </w:r>
      <w:r>
        <w:t xml:space="preserve"> </w:t>
      </w:r>
      <w:r>
        <w:rPr>
          <w:i/>
        </w:rPr>
        <w:t xml:space="preserve">M. hyperodae</w:t>
      </w:r>
      <w:r>
        <w:t xml:space="preserve">, this began to fail after about 14 generations</w:t>
      </w:r>
      <w:r>
        <w:t xml:space="preserve"> </w:t>
      </w:r>
      <w:r>
        <w:t xml:space="preserve">[16–18]</w:t>
      </w:r>
      <w:r>
        <w:t xml:space="preserve">.</w:t>
      </w:r>
      <w:r>
        <w:t xml:space="preserve"> </w:t>
      </w:r>
      <w:r>
        <w:t xml:space="preserve">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has indicated that resistance is inevitable when hosts have more genetic variation than their predators</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a genotyping-by-sequencing study of a geographical survey of 10 Argentine stem weevil populations collected from across the North and South Islands of New Zealand.</w:t>
      </w:r>
      <w:r>
        <w:t xml:space="preserve"> </w:t>
      </w:r>
      <w:r>
        <w:t xml:space="preserve">Our experiments revealed a repetitive genome with high heterozygosity and a high proportion of unstructured variation across populations.</w:t>
      </w:r>
      <w:r>
        <w:t xml:space="preserve"> </w:t>
      </w:r>
      <w:r>
        <w:t xml:space="preserve">This is consistent with large effective population size and gene flow between populations.</w:t>
      </w:r>
      <w:r>
        <w:t xml:space="preserve"> </w:t>
      </w:r>
      <w:r>
        <w:t xml:space="preserve">Genetic variation was found along a latitudinal cline, and was associated with signatures of selection in regions of the genome, indicating a level of local adaptation within populations, but at the resolution of this study we found no evidence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sampled are illustrated in Figure 1.</w:t>
      </w:r>
      <w:r>
        <w:t xml:space="preserve"> </w:t>
      </w:r>
      <w:r>
        <w:t xml:space="preserve">The map was plotted with the ggmap package for ggplot2</w:t>
      </w:r>
      <w:r>
        <w:t xml:space="preserve"> </w:t>
      </w:r>
      <w:r>
        <w:t xml:space="preserve">[23]</w:t>
      </w:r>
      <w:r>
        <w:t xml:space="preserve">, 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1.10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28–48% in the individual we sequenced (Supplementary Figure 1).</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partitions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w:t>
      </w:r>
      <w:r>
        <w:t xml:space="preserve"> </w:t>
      </w:r>
      <w:r>
        <w:t xml:space="preserve">This is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the extent of historical declines in parasitism rates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α: BayeScan’s locus-specific component of FST coefficient [44]. Positive values suggest diversifying selection."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r>
        <w:t xml:space="preserve"> </w:t>
      </w:r>
      <w:r>
        <w:t xml:space="preserve">α: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w:t>
      </w:r>
      <w:r>
        <w:t xml:space="preserve"> </w:t>
      </w:r>
      <w:r>
        <w:t xml:space="preserve">Positive values suggest diversifying selection.</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3A).</w:t>
      </w:r>
      <w:r>
        <w:t xml:space="preserve"> </w:t>
      </w:r>
      <w:r>
        <w:t xml:space="preserve">The models that best matched the observed SFS had the North and South populations separated before bottlenecks, and support for these models was better when migration between populations was included.</w:t>
      </w:r>
      <w:r>
        <w:t xml:space="preserve"> </w:t>
      </w:r>
      <w:r>
        <w:t xml:space="preserve">The model with the lowest mean delta likelihood supports separate routes of entry into New Zealand, with a bottleneck in each population prior to entry and migration between the North and South populations (Figure 3B).</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M simulations and 60 optimisation cycles per run [46]. Runs that ended with a non-finite delta likehood after 1M simulations are shown as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1M simulations and 60 optimisation cycles per run</w:t>
      </w:r>
      <w:r>
        <w:t xml:space="preserve"> </w:t>
      </w:r>
      <w:r>
        <w:t xml:space="preserve">[46]</w:t>
      </w:r>
      <w:r>
        <w:t xml:space="preserve">.</w:t>
      </w:r>
      <w:r>
        <w:t xml:space="preserve"> </w:t>
      </w:r>
      <w:r>
        <w:t xml:space="preserve">Runs that ended with a non-finite delta likehood after 1M simulations are shown as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w:t>
      </w:r>
      <w:r>
        <w:t xml:space="preserve"> </w:t>
      </w:r>
      <w:r>
        <w:rPr>
          <w:i/>
        </w:rPr>
        <w:t xml:space="preserve">M. hyperodae</w:t>
      </w:r>
      <w:r>
        <w:t xml:space="preserve">.</w:t>
      </w:r>
      <w:r>
        <w:t xml:space="preserve"> </w:t>
      </w:r>
      <w:r>
        <w:t xml:space="preserve">We expect variation to be limited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incursions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points to low migration rates between these regions.</w:t>
      </w:r>
      <w:r>
        <w:t xml:space="preserve"> </w:t>
      </w:r>
      <w:r>
        <w:t xml:space="preserve">Our demographic modelling suggests that the populations expanded to their current effective sizes after already being separated into North and South populations.</w:t>
      </w:r>
      <w:r>
        <w:t xml:space="preserve"> </w:t>
      </w:r>
      <w:r>
        <w:t xml:space="preserve">The most likely scenario is separate introductions from the same source population to North and South of the Main Divide, with some migration between the two populations.</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some individuals in a population survive predation.</w:t>
      </w:r>
      <w:r>
        <w:t xml:space="preserve"> </w:t>
      </w:r>
      <w:r>
        <w:t xml:space="preserve">In other words, selection by</w:t>
      </w:r>
      <w:r>
        <w:t xml:space="preserve"> </w:t>
      </w:r>
      <w:r>
        <w:rPr>
          <w:i/>
        </w:rPr>
        <w:t xml:space="preserve">M. hyperodae</w:t>
      </w:r>
      <w:r>
        <w:t xml:space="preserve"> </w:t>
      </w:r>
      <w:r>
        <w:t xml:space="preserve">acts within the survivability distribution of ASW populations.</w:t>
      </w:r>
      <w:r>
        <w:t xml:space="preserve"> </w:t>
      </w:r>
      <w:r>
        <w:t xml:space="preserve">Because we detected a large amount of standing variation in our survey of ASW populations, which may encode phenotypic variation in parasitism survivability,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Thomas W.R. Harrop, Jeanne M.E. Jacobs, Stephen L. Goldson and Peter K. Dearden;</w:t>
      </w:r>
      <w:r>
        <w:t xml:space="preserve"> </w:t>
      </w:r>
      <w:r>
        <w:t xml:space="preserve">Formal analysis, Thomas W.R. Harrop, Marissa F. Le Lec, Ruy Juaregui, Siva Ganesh and Rachael L. Ashby;</w:t>
      </w:r>
      <w:r>
        <w:t xml:space="preserve"> </w:t>
      </w:r>
      <w:r>
        <w:t xml:space="preserve">Funding acquisition, Jeanne M.E. Jacobs, Stephen L. Goldson and Peter K. Dearden;</w:t>
      </w:r>
      <w:r>
        <w:t xml:space="preserve"> </w:t>
      </w:r>
      <w:r>
        <w:t xml:space="preserve">Investigation, Thomas W.R. Harrop, Shannon E. Taylor, Sarah N. Inwood, Tracey van Stijn, Hannah Henry, John Skelly and Stephen L. Goldson;</w:t>
      </w:r>
      <w:r>
        <w:t xml:space="preserve"> </w:t>
      </w:r>
      <w:r>
        <w:t xml:space="preserve">Resources, Shannon E. Taylor, Jeanne M.E. Jacobs and Stephen L. Goldson;</w:t>
      </w:r>
      <w:r>
        <w:t xml:space="preserve"> </w:t>
      </w:r>
      <w:r>
        <w:t xml:space="preserve">Writing – original draft, Thomas W.R. Harrop, Marissa F. Le Lec, Stephen L. Goldson and Peter K. Dearden;</w:t>
      </w:r>
      <w:r>
        <w:t xml:space="preserve"> </w:t>
      </w:r>
      <w:r>
        <w:t xml:space="preserve">Writing – review &amp; editing, Jeanne M.E. Jacobs.</w:t>
      </w:r>
    </w:p>
    <w:p>
      <w:pPr>
        <w:pStyle w:val="TextBody"/>
      </w:pP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p>
    <w:p>
      <w:pPr>
        <w:pStyle w:val="TextBody"/>
      </w:pPr>
      <w:r>
        <w:t xml:space="preserve">We also thank the participants, organisers and instructors of the Genomics Aotearoa ONT MinION workshop in Dunedin in April 2018, where we generated the Nanopore reads for the pooled weevil samples.</w:t>
      </w:r>
      <w:r>
        <w:t xml:space="preserve"> </w:t>
      </w:r>
      <w:r>
        <w:t xml:space="preserve">The workshop was funded by Genomics Aotearoa, supported by the New Zealand Ministry of Business Innovation and employment.</w:t>
      </w:r>
    </w:p>
    <w:p>
      <w:pPr>
        <w:pStyle w:val="TextBody"/>
      </w:pPr>
      <w:r>
        <w:t xml:space="preserve">This project (2) was funded by the New Zealand Bio-Protection Research Centre to SLG, supported by the Tertiary Education Commission of New Zealand, and by the New Zealand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goldsonSevereInsectPest2020a"/>
    <w:p>
      <w:pPr>
        <w:pStyle w:val="Bibliography"/>
      </w:pPr>
      <w:r>
        <w:t xml:space="preserve">5.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68">
        <w:r>
          <w:rPr>
            <w:rStyle w:val="InternetLink"/>
          </w:rPr>
          <w:t xml:space="preserve">10.1093/jisesa/ieaa018</w:t>
        </w:r>
      </w:hyperlink>
      <w:r>
        <w:t xml:space="preserve">.</w:t>
      </w:r>
    </w:p>
    <w:bookmarkEnd w:id="69"/>
    <w:bookmarkStart w:id="70" w:name="ref-barkerArgentineStemWeevil1993"/>
    <w:p>
      <w:pPr>
        <w:pStyle w:val="Bibliography"/>
      </w:pPr>
      <w:r>
        <w:t xml:space="preserve">6. Barker, G.; Addison, P.J. Argentine stem weevil populations and damage in ryegrass swards of contrasting Acremonium infection.; 1993.</w:t>
      </w:r>
    </w:p>
    <w:bookmarkEnd w:id="70"/>
    <w:bookmarkStart w:id="71" w:name="ref-prestidgeEconomicCostArgentine1991"/>
    <w:p>
      <w:pPr>
        <w:pStyle w:val="Bibliography"/>
      </w:pPr>
      <w:r>
        <w:t xml:space="preserve">7. Prestidge, R.; Barker, G.; Pottinger, R. The economic cost of Argentine stem weevil in pastures in New Zealand.; 1991; Vol. 44, pp. 165–170.</w:t>
      </w:r>
    </w:p>
    <w:bookmarkEnd w:id="71"/>
    <w:bookmarkStart w:id="73" w:name="ref-fergusonQuantifyingEconomicCost2019"/>
    <w:p>
      <w:pPr>
        <w:pStyle w:val="Bibliography"/>
      </w:pPr>
      <w:r>
        <w:t xml:space="preserve">8.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72">
        <w:r>
          <w:rPr>
            <w:rStyle w:val="InternetLink"/>
          </w:rPr>
          <w:t xml:space="preserve">10.1080/00288233.2018.1478860</w:t>
        </w:r>
      </w:hyperlink>
      <w:r>
        <w:t xml:space="preserve">.</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p>
      <w:pPr>
        <w:pStyle w:val="Heading2"/>
      </w:pPr>
      <w:bookmarkStart w:id="170" w:name="supplementary-information"/>
      <w:r>
        <w:t xml:space="preserve">Supplementary information</w:t>
      </w:r>
      <w:bookmarkEnd w:id="170"/>
    </w:p>
    <w:p>
      <w:pPr>
        <w:pStyle w:val="CaptionedFigure"/>
      </w:pPr>
      <w:r>
        <w:drawing>
          <wp:inline>
            <wp:extent cx="5943600" cy="4077729"/>
            <wp:effectExtent b="0" l="0" r="0" t="0"/>
            <wp:docPr descr="Supplementary Figure 1. k-mer analysis of the short read sequencing dataset at k=31. A k-mer distribution in the short read dataset before and after normalisation. The peak at 84–216× coverage (highlighted in green) suggests a diploid genome with a haploid size of 967 Mb. The haploid peak (22–56× coverage) indicates a high number of polymorphic sites in the single, male individual used to generate this dataset. BBTools [25] estimated 2.1 polymorphisms per 100 bp in this dataset. B Cumulative percentage of all k-mers vs. frequency. 72% of all k-mers are at 216× or lower coverage, indicating that the remaining 28% of k-mers are repetitive. The earlier inflexion point at 48% suggests that k-mers in the region from 48–72% may also be from repetitive regions." title="" id="1" name="Picture"/>
            <a:graphic>
              <a:graphicData uri="http://schemas.openxmlformats.org/drawingml/2006/picture">
                <pic:pic>
                  <pic:nvPicPr>
                    <pic:cNvPr descr="fig/supplementary_figure_1.pdf" id="0" name="Picture"/>
                    <pic:cNvPicPr>
                      <a:picLocks noChangeArrowheads="1" noChangeAspect="1"/>
                    </pic:cNvPicPr>
                  </pic:nvPicPr>
                  <pic:blipFill>
                    <a:blip r:embed="rId171"/>
                    <a:stretch>
                      <a:fillRect/>
                    </a:stretch>
                  </pic:blipFill>
                  <pic:spPr bwMode="auto">
                    <a:xfrm>
                      <a:off x="0" y="0"/>
                      <a:ext cx="5943600" cy="4077729"/>
                    </a:xfrm>
                    <a:prstGeom prst="rect">
                      <a:avLst/>
                    </a:prstGeom>
                    <a:noFill/>
                    <a:ln w="9525">
                      <a:noFill/>
                      <a:headEnd/>
                      <a:tailEnd/>
                    </a:ln>
                  </pic:spPr>
                </pic:pic>
              </a:graphicData>
            </a:graphic>
          </wp:inline>
        </w:drawing>
      </w:r>
    </w:p>
    <w:p>
      <w:pPr>
        <w:pStyle w:val="ImageCaption"/>
      </w:pPr>
      <w:r>
        <w:rPr>
          <w:b/>
        </w:rPr>
        <w:t xml:space="preserve">Supplementary Figure 1</w:t>
      </w:r>
      <w:r>
        <w:t xml:space="preserve">.</w:t>
      </w:r>
      <w:r>
        <w:t xml:space="preserve"> </w:t>
      </w:r>
      <w:r>
        <w:rPr>
          <w:i/>
        </w:rPr>
        <w:t xml:space="preserve">k</w:t>
      </w:r>
      <w:r>
        <w:t xml:space="preserve">-mer analysis of the short read sequencing dataset at</w:t>
      </w:r>
      <w:r>
        <w:t xml:space="preserve"> </w:t>
      </w:r>
      <m:oMath>
        <m:r>
          <m:t>k</m:t>
        </m:r>
        <m:r>
          <m:t>=</m:t>
        </m:r>
        <m:r>
          <m:t>31</m:t>
        </m:r>
      </m:oMath>
      <w:r>
        <w:t xml:space="preserve">.</w:t>
      </w:r>
      <w:r>
        <w:t xml:space="preserve"> </w:t>
      </w:r>
      <w:r>
        <w:rPr>
          <w:b/>
        </w:rPr>
        <w:t xml:space="preserve">A</w:t>
      </w:r>
      <w:r>
        <w:t xml:space="preserve"> </w:t>
      </w:r>
      <w:r>
        <w:rPr>
          <w:i/>
        </w:rPr>
        <w:t xml:space="preserve">k</w:t>
      </w:r>
      <w:r>
        <w:t xml:space="preserve">-mer distribution in the short read dataset before and after normalisation.</w:t>
      </w:r>
      <w:r>
        <w:t xml:space="preserve"> </w:t>
      </w:r>
      <w:r>
        <w:t xml:space="preserve">The peak at 84–216× coverage (highlighted in green) suggests a diploid genome with a haploid size of 967 Mb.</w:t>
      </w:r>
      <w:r>
        <w:t xml:space="preserve"> </w:t>
      </w:r>
      <w:r>
        <w:t xml:space="preserve">The haploid peak (22–56× coverage) indicates a high number of polymorphic sites in the single, male individual used to generate this dataset.</w:t>
      </w:r>
      <w:r>
        <w:t xml:space="preserve"> </w:t>
      </w:r>
      <w:r>
        <w:t xml:space="preserve">BBTools</w:t>
      </w:r>
      <w:r>
        <w:t xml:space="preserve"> </w:t>
      </w:r>
      <w:r>
        <w:t xml:space="preserve">[25]</w:t>
      </w:r>
      <w:r>
        <w:t xml:space="preserve"> </w:t>
      </w:r>
      <w:r>
        <w:t xml:space="preserve">estimated 2.1 polymorphisms per 100 bp in this dataset.</w:t>
      </w:r>
      <w:r>
        <w:t xml:space="preserve"> </w:t>
      </w:r>
      <w:r>
        <w:rPr>
          <w:b/>
        </w:rPr>
        <w:t xml:space="preserve">B</w:t>
      </w:r>
      <w:r>
        <w:t xml:space="preserve"> </w:t>
      </w:r>
      <w:r>
        <w:t xml:space="preserve">Cumulative percentage of all</w:t>
      </w:r>
      <w:r>
        <w:t xml:space="preserve"> </w:t>
      </w:r>
      <w:r>
        <w:rPr>
          <w:i/>
        </w:rPr>
        <w:t xml:space="preserve">k</w:t>
      </w:r>
      <w:r>
        <w:t xml:space="preserve">-mers</w:t>
      </w:r>
      <w:r>
        <w:t xml:space="preserve"> </w:t>
      </w:r>
      <w:r>
        <w:rPr>
          <w:i/>
        </w:rPr>
        <w:t xml:space="preserve">vs.</w:t>
      </w:r>
      <w:r>
        <w:t xml:space="preserve"> </w:t>
      </w:r>
      <w:r>
        <w:t xml:space="preserve">frequency.</w:t>
      </w:r>
      <w:r>
        <w:t xml:space="preserve"> </w:t>
      </w:r>
      <w:r>
        <w:t xml:space="preserve">72% of all</w:t>
      </w:r>
      <w:r>
        <w:t xml:space="preserve"> </w:t>
      </w:r>
      <w:r>
        <w:rPr>
          <w:i/>
        </w:rPr>
        <w:t xml:space="preserve">k</w:t>
      </w:r>
      <w:r>
        <w:t xml:space="preserve">-mers are at 216× or lower coverage, indicating that the remaining 28% of</w:t>
      </w:r>
      <w:r>
        <w:t xml:space="preserve"> </w:t>
      </w:r>
      <w:r>
        <w:rPr>
          <w:i/>
        </w:rPr>
        <w:t xml:space="preserve">k</w:t>
      </w:r>
      <w:r>
        <w:t xml:space="preserve">-mers are repetitive.</w:t>
      </w:r>
      <w:r>
        <w:t xml:space="preserve"> </w:t>
      </w:r>
      <w:r>
        <w:t xml:space="preserve">The earlier inflexion point at 48% suggests that</w:t>
      </w:r>
      <w:r>
        <w:t xml:space="preserve"> </w:t>
      </w:r>
      <w:r>
        <w:rPr>
          <w:i/>
        </w:rPr>
        <w:t xml:space="preserve">k</w:t>
      </w:r>
      <w:r>
        <w:t xml:space="preserve">-mers in the region from 48–72% may also be from repetitive regions.</w:t>
      </w:r>
    </w:p>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image" Id="rId171" Target="media/rId171.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2020-06-04T04:50:48Z</dcterms:created>
  <dcterms:modified xsi:type="dcterms:W3CDTF">2020-06-04T04:50:48Z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